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E8A" w:rsidRDefault="0088296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Century Gothic" w:eastAsia="Century Gothic" w:hAnsi="Century Gothic" w:cs="Century Gothic"/>
          <w:color w:val="000000"/>
        </w:rPr>
        <w:t>Contact: Brian M. Davis, Executive Director </w:t>
      </w:r>
      <w:r>
        <w:rPr>
          <w:noProof/>
        </w:rPr>
        <w:drawing>
          <wp:anchor distT="0" distB="0" distL="114300" distR="114300" simplePos="0" relativeHeight="251658240" behindDoc="0" locked="0" layoutInCell="1" hidden="0" allowOverlap="1">
            <wp:simplePos x="0" y="0"/>
            <wp:positionH relativeFrom="column">
              <wp:posOffset>-514349</wp:posOffset>
            </wp:positionH>
            <wp:positionV relativeFrom="paragraph">
              <wp:posOffset>0</wp:posOffset>
            </wp:positionV>
            <wp:extent cx="1828800" cy="1314450"/>
            <wp:effectExtent l="0" t="0" r="0" b="0"/>
            <wp:wrapSquare wrapText="bothSides" distT="0" distB="0" distL="114300" distR="114300"/>
            <wp:docPr id="3" name="image1.png" descr="C:\Users\William G. Prince\AppData\Local\Microsoft\Windows\INetCache\Content.MSO\C34EDD8.tmp"/>
            <wp:cNvGraphicFramePr/>
            <a:graphic xmlns:a="http://schemas.openxmlformats.org/drawingml/2006/main">
              <a:graphicData uri="http://schemas.openxmlformats.org/drawingml/2006/picture">
                <pic:pic xmlns:pic="http://schemas.openxmlformats.org/drawingml/2006/picture">
                  <pic:nvPicPr>
                    <pic:cNvPr id="0" name="image1.png" descr="C:\Users\William G. Prince\AppData\Local\Microsoft\Windows\INetCache\Content.MSO\C34EDD8.tmp"/>
                    <pic:cNvPicPr preferRelativeResize="0"/>
                  </pic:nvPicPr>
                  <pic:blipFill>
                    <a:blip r:embed="rId5"/>
                    <a:srcRect/>
                    <a:stretch>
                      <a:fillRect/>
                    </a:stretch>
                  </pic:blipFill>
                  <pic:spPr>
                    <a:xfrm>
                      <a:off x="0" y="0"/>
                      <a:ext cx="1828800" cy="1314450"/>
                    </a:xfrm>
                    <a:prstGeom prst="rect">
                      <a:avLst/>
                    </a:prstGeom>
                    <a:ln/>
                  </pic:spPr>
                </pic:pic>
              </a:graphicData>
            </a:graphic>
          </wp:anchor>
        </w:drawing>
      </w:r>
    </w:p>
    <w:p w:rsidR="00D57E8A" w:rsidRDefault="0088296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Century Gothic" w:eastAsia="Century Gothic" w:hAnsi="Century Gothic" w:cs="Century Gothic"/>
          <w:color w:val="000000"/>
        </w:rPr>
        <w:t>Email: </w:t>
      </w:r>
      <w:hyperlink r:id="rId6">
        <w:r>
          <w:rPr>
            <w:rFonts w:ascii="Century Gothic" w:eastAsia="Century Gothic" w:hAnsi="Century Gothic" w:cs="Century Gothic"/>
            <w:color w:val="000000"/>
            <w:u w:val="single"/>
          </w:rPr>
          <w:t>bdavis@LTHP.org</w:t>
        </w:r>
      </w:hyperlink>
      <w:hyperlink r:id="rId7">
        <w:r>
          <w:rPr>
            <w:rFonts w:ascii="Arial" w:eastAsia="Arial" w:hAnsi="Arial" w:cs="Arial"/>
            <w:color w:val="000000"/>
            <w:u w:val="single"/>
          </w:rPr>
          <w:t> </w:t>
        </w:r>
      </w:hyperlink>
      <w:r>
        <w:rPr>
          <w:rFonts w:ascii="Times New Roman" w:eastAsia="Times New Roman" w:hAnsi="Times New Roman" w:cs="Times New Roman"/>
          <w:color w:val="000000"/>
          <w:sz w:val="24"/>
          <w:szCs w:val="24"/>
        </w:rPr>
        <w:t> </w:t>
      </w:r>
    </w:p>
    <w:p w:rsidR="00D57E8A" w:rsidRDefault="0088296A" w:rsidP="002A764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Phone: 318.267.5220</w:t>
      </w:r>
      <w:r>
        <w:rPr>
          <w:rFonts w:ascii="Arial" w:eastAsia="Arial" w:hAnsi="Arial" w:cs="Arial"/>
          <w:color w:val="000000"/>
        </w:rPr>
        <w:t> </w:t>
      </w:r>
      <w:r>
        <w:rPr>
          <w:rFonts w:ascii="Century Gothic" w:eastAsia="Century Gothic" w:hAnsi="Century Gothic" w:cs="Century Gothic"/>
          <w:color w:val="000000"/>
        </w:rPr>
        <w:t> </w:t>
      </w:r>
    </w:p>
    <w:p w:rsidR="00D57E8A" w:rsidRDefault="00D57E8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rsidR="00D57E8A" w:rsidRDefault="00D57E8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bookmarkStart w:id="0" w:name="_GoBack"/>
      <w:bookmarkEnd w:id="0"/>
    </w:p>
    <w:p w:rsidR="00D57E8A" w:rsidRDefault="0088296A" w:rsidP="002A7648">
      <w:pPr>
        <w:pBdr>
          <w:top w:val="nil"/>
          <w:left w:val="nil"/>
          <w:bottom w:val="nil"/>
          <w:right w:val="nil"/>
          <w:between w:val="nil"/>
        </w:pBdr>
        <w:spacing w:after="0" w:line="240" w:lineRule="auto"/>
        <w:jc w:val="center"/>
        <w:rPr>
          <w:rFonts w:ascii="Quattrocento Sans" w:eastAsia="Quattrocento Sans" w:hAnsi="Quattrocento Sans" w:cs="Quattrocento Sans"/>
          <w:color w:val="000000"/>
          <w:sz w:val="18"/>
          <w:szCs w:val="18"/>
        </w:rPr>
      </w:pPr>
      <w:r>
        <w:rPr>
          <w:rFonts w:ascii="Century Gothic" w:eastAsia="Century Gothic" w:hAnsi="Century Gothic" w:cs="Century Gothic"/>
          <w:b/>
          <w:color w:val="000000"/>
          <w:sz w:val="32"/>
          <w:szCs w:val="32"/>
        </w:rPr>
        <w:t>2022 LIST OF</w:t>
      </w:r>
      <w:r>
        <w:rPr>
          <w:rFonts w:ascii="Arial" w:eastAsia="Arial" w:hAnsi="Arial" w:cs="Arial"/>
          <w:b/>
          <w:color w:val="000000"/>
          <w:sz w:val="32"/>
          <w:szCs w:val="32"/>
        </w:rPr>
        <w:t> </w:t>
      </w:r>
      <w:r>
        <w:rPr>
          <w:rFonts w:ascii="Century Gothic" w:eastAsia="Century Gothic" w:hAnsi="Century Gothic" w:cs="Century Gothic"/>
          <w:b/>
          <w:color w:val="000000"/>
          <w:sz w:val="32"/>
          <w:szCs w:val="32"/>
        </w:rPr>
        <w:t>LOUISIANA’S MOST ENDANGERED</w:t>
      </w:r>
      <w:r>
        <w:rPr>
          <w:rFonts w:ascii="Arial" w:eastAsia="Arial" w:hAnsi="Arial" w:cs="Arial"/>
          <w:b/>
          <w:color w:val="000000"/>
          <w:sz w:val="32"/>
          <w:szCs w:val="32"/>
        </w:rPr>
        <w:t> </w:t>
      </w:r>
      <w:r>
        <w:rPr>
          <w:rFonts w:ascii="Century Gothic" w:eastAsia="Century Gothic" w:hAnsi="Century Gothic" w:cs="Century Gothic"/>
          <w:b/>
          <w:color w:val="000000"/>
          <w:sz w:val="32"/>
          <w:szCs w:val="32"/>
        </w:rPr>
        <w:t>PLACES ANNOUNCED</w:t>
      </w:r>
    </w:p>
    <w:p w:rsidR="00D57E8A" w:rsidRDefault="0088296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Arial" w:eastAsia="Arial" w:hAnsi="Arial" w:cs="Arial"/>
          <w:color w:val="000000"/>
        </w:rPr>
        <w:t> </w:t>
      </w:r>
      <w:r>
        <w:rPr>
          <w:rFonts w:ascii="Century Gothic" w:eastAsia="Century Gothic" w:hAnsi="Century Gothic" w:cs="Century Gothic"/>
          <w:color w:val="000000"/>
        </w:rPr>
        <w:t> </w:t>
      </w:r>
    </w:p>
    <w:p w:rsidR="00D57E8A" w:rsidRDefault="0088296A" w:rsidP="002A764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Baton Rouge, LA</w:t>
      </w:r>
      <w:r>
        <w:rPr>
          <w:rFonts w:ascii="Century Gothic" w:eastAsia="Century Gothic" w:hAnsi="Century Gothic" w:cs="Century Gothic"/>
          <w:b/>
          <w:color w:val="000000"/>
        </w:rPr>
        <w:t> </w:t>
      </w:r>
      <w:r>
        <w:rPr>
          <w:rFonts w:ascii="Century Gothic" w:eastAsia="Century Gothic" w:hAnsi="Century Gothic" w:cs="Century Gothic"/>
          <w:color w:val="000000"/>
        </w:rPr>
        <w:t>-</w:t>
      </w:r>
      <w:r>
        <w:rPr>
          <w:rFonts w:ascii="Arial" w:eastAsia="Arial" w:hAnsi="Arial" w:cs="Arial"/>
          <w:color w:val="000000"/>
        </w:rPr>
        <w:t> </w:t>
      </w:r>
      <w:r>
        <w:rPr>
          <w:rFonts w:ascii="Century Gothic" w:eastAsia="Century Gothic" w:hAnsi="Century Gothic" w:cs="Century Gothic"/>
          <w:color w:val="000000"/>
        </w:rPr>
        <w:t xml:space="preserve">Louisiana is known for its rich history and cultural diversity.  Louisiana’s historic sites represent the past, but often these sites become neglected, abandoned, or ultimately demolished.  The Louisiana Trust for Historic Preservation works statewide to help identify and advocate for our state’s historic places.  The organization </w:t>
      </w:r>
      <w:r w:rsidR="00463CF6">
        <w:rPr>
          <w:rFonts w:ascii="Century Gothic" w:eastAsia="Century Gothic" w:hAnsi="Century Gothic" w:cs="Century Gothic"/>
          <w:color w:val="000000"/>
        </w:rPr>
        <w:t xml:space="preserve">announced </w:t>
      </w:r>
      <w:r w:rsidR="00463CF6" w:rsidRPr="00463CF6">
        <w:rPr>
          <w:rFonts w:ascii="Century Gothic" w:eastAsia="Century Gothic" w:hAnsi="Century Gothic" w:cs="Century Gothic"/>
          <w:b/>
          <w:color w:val="000000"/>
        </w:rPr>
        <w:t>14</w:t>
      </w:r>
      <w:r>
        <w:rPr>
          <w:rFonts w:ascii="Century Gothic" w:eastAsia="Century Gothic" w:hAnsi="Century Gothic" w:cs="Century Gothic"/>
          <w:b/>
          <w:color w:val="000000"/>
        </w:rPr>
        <w:t xml:space="preserve"> new </w:t>
      </w:r>
      <w:r>
        <w:rPr>
          <w:rFonts w:ascii="Century Gothic" w:eastAsia="Century Gothic" w:hAnsi="Century Gothic" w:cs="Century Gothic"/>
          <w:b/>
        </w:rPr>
        <w:t>additions to the</w:t>
      </w:r>
      <w:r>
        <w:rPr>
          <w:rFonts w:ascii="Century Gothic" w:eastAsia="Century Gothic" w:hAnsi="Century Gothic" w:cs="Century Gothic"/>
          <w:b/>
          <w:i/>
        </w:rPr>
        <w:t xml:space="preserve"> </w:t>
      </w:r>
      <w:r>
        <w:rPr>
          <w:rFonts w:ascii="Century Gothic" w:eastAsia="Century Gothic" w:hAnsi="Century Gothic" w:cs="Century Gothic"/>
          <w:b/>
        </w:rPr>
        <w:t>Louisiana’s Most Endangered Places List</w:t>
      </w:r>
      <w:r>
        <w:rPr>
          <w:rFonts w:ascii="Century Gothic" w:eastAsia="Century Gothic" w:hAnsi="Century Gothic" w:cs="Century Gothic"/>
          <w:color w:val="000000"/>
        </w:rPr>
        <w:t>.  Since 1999, LTHP has maintained this growing list.  Many sites have been saved w</w:t>
      </w:r>
      <w:r>
        <w:rPr>
          <w:rFonts w:ascii="Century Gothic" w:eastAsia="Century Gothic" w:hAnsi="Century Gothic" w:cs="Century Gothic"/>
        </w:rPr>
        <w:t>hile</w:t>
      </w:r>
      <w:r>
        <w:rPr>
          <w:rFonts w:ascii="Century Gothic" w:eastAsia="Century Gothic" w:hAnsi="Century Gothic" w:cs="Century Gothic"/>
          <w:color w:val="000000"/>
        </w:rPr>
        <w:t xml:space="preserve"> others </w:t>
      </w:r>
      <w:r>
        <w:rPr>
          <w:rFonts w:ascii="Century Gothic" w:eastAsia="Century Gothic" w:hAnsi="Century Gothic" w:cs="Century Gothic"/>
        </w:rPr>
        <w:t>remain</w:t>
      </w:r>
      <w:r>
        <w:rPr>
          <w:rFonts w:ascii="Century Gothic" w:eastAsia="Century Gothic" w:hAnsi="Century Gothic" w:cs="Century Gothic"/>
          <w:color w:val="000000"/>
        </w:rPr>
        <w:t xml:space="preserve"> stagnant.  LTHP encourages creative approaches and valuable tools such as the National Register of Historic Places or state and federal tax credits to help save these endangered places.  </w:t>
      </w:r>
    </w:p>
    <w:p w:rsidR="00D57E8A" w:rsidRDefault="00D57E8A" w:rsidP="002A7648">
      <w:pPr>
        <w:pBdr>
          <w:top w:val="nil"/>
          <w:left w:val="nil"/>
          <w:bottom w:val="nil"/>
          <w:right w:val="nil"/>
          <w:between w:val="nil"/>
        </w:pBdr>
        <w:spacing w:after="0" w:line="240" w:lineRule="auto"/>
        <w:rPr>
          <w:rFonts w:ascii="Century Gothic" w:eastAsia="Century Gothic" w:hAnsi="Century Gothic" w:cs="Century Gothic"/>
          <w:color w:val="000000"/>
        </w:rPr>
      </w:pPr>
    </w:p>
    <w:p w:rsidR="00D57E8A" w:rsidRDefault="0088296A" w:rsidP="002A764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This year’s list represents a mix of sites ranging from </w:t>
      </w:r>
      <w:r>
        <w:rPr>
          <w:rFonts w:ascii="Century Gothic" w:eastAsia="Century Gothic" w:hAnsi="Century Gothic" w:cs="Century Gothic"/>
        </w:rPr>
        <w:t xml:space="preserve">rural </w:t>
      </w:r>
      <w:r>
        <w:rPr>
          <w:rFonts w:ascii="Century Gothic" w:eastAsia="Century Gothic" w:hAnsi="Century Gothic" w:cs="Century Gothic"/>
          <w:color w:val="000000"/>
        </w:rPr>
        <w:t xml:space="preserve">schools, hurricane </w:t>
      </w:r>
      <w:r>
        <w:rPr>
          <w:rFonts w:ascii="Century Gothic" w:eastAsia="Century Gothic" w:hAnsi="Century Gothic" w:cs="Century Gothic"/>
        </w:rPr>
        <w:t>impacted</w:t>
      </w:r>
      <w:r>
        <w:rPr>
          <w:rFonts w:ascii="Century Gothic" w:eastAsia="Century Gothic" w:hAnsi="Century Gothic" w:cs="Century Gothic"/>
          <w:color w:val="000000"/>
        </w:rPr>
        <w:t xml:space="preserve"> areas, Civil Rights history, and more.  Listing these places acknowledges their importance to the local community but also our statewide identity and economy.</w:t>
      </w:r>
      <w:r>
        <w:rPr>
          <w:rFonts w:ascii="Arial" w:eastAsia="Arial" w:hAnsi="Arial" w:cs="Arial"/>
          <w:color w:val="000000"/>
        </w:rPr>
        <w:t>  </w:t>
      </w:r>
      <w:r>
        <w:rPr>
          <w:rFonts w:ascii="Century Gothic" w:eastAsia="Century Gothic" w:hAnsi="Century Gothic" w:cs="Century Gothic"/>
          <w:color w:val="000000"/>
        </w:rPr>
        <w:t> </w:t>
      </w:r>
    </w:p>
    <w:p w:rsidR="00D57E8A" w:rsidRDefault="0088296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rsidR="00D57E8A" w:rsidRDefault="0088296A" w:rsidP="002A764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The list is generated from nominations made by the public and aims to attract creative approaches and resources to</w:t>
      </w:r>
      <w:r>
        <w:rPr>
          <w:rFonts w:ascii="Arial" w:eastAsia="Arial" w:hAnsi="Arial" w:cs="Arial"/>
          <w:color w:val="000000"/>
        </w:rPr>
        <w:t> </w:t>
      </w:r>
      <w:r>
        <w:rPr>
          <w:rFonts w:ascii="Century Gothic" w:eastAsia="Century Gothic" w:hAnsi="Century Gothic" w:cs="Century Gothic"/>
          <w:color w:val="000000"/>
        </w:rPr>
        <w:t>see the sites</w:t>
      </w:r>
      <w:r>
        <w:rPr>
          <w:rFonts w:ascii="Arial" w:eastAsia="Arial" w:hAnsi="Arial" w:cs="Arial"/>
          <w:color w:val="000000"/>
        </w:rPr>
        <w:t> </w:t>
      </w:r>
      <w:r>
        <w:rPr>
          <w:rFonts w:ascii="Century Gothic" w:eastAsia="Century Gothic" w:hAnsi="Century Gothic" w:cs="Century Gothic"/>
          <w:color w:val="000000"/>
        </w:rPr>
        <w:t>saved and rehabilitated for future generations.</w:t>
      </w:r>
      <w:r>
        <w:rPr>
          <w:rFonts w:ascii="Arial" w:eastAsia="Arial" w:hAnsi="Arial" w:cs="Arial"/>
          <w:color w:val="000000"/>
        </w:rPr>
        <w:t> </w:t>
      </w:r>
      <w:r>
        <w:rPr>
          <w:rFonts w:ascii="Century Gothic" w:eastAsia="Century Gothic" w:hAnsi="Century Gothic" w:cs="Century Gothic"/>
          <w:color w:val="000000"/>
        </w:rPr>
        <w:t> Brian Davis, LTHP Executive Director said, “Getting a property added to the Louisiana’s Most Endangered Places List can be a useful tool in the effort to save an important part of a community’s history.  It reinforces the significance of the site and the urgency for action, when applying for a grant or garnering support from the local community.  It also increases the commitment of the Louisiana Trust and its resources in seeing a positive outcome for the site.”</w:t>
      </w:r>
    </w:p>
    <w:p w:rsidR="00D57E8A" w:rsidRDefault="0088296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rsidR="00D57E8A" w:rsidRDefault="0088296A" w:rsidP="002A764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Selections to Louisiana's Most Endangered Places List are based on their</w:t>
      </w:r>
      <w:r>
        <w:rPr>
          <w:rFonts w:ascii="Arial" w:eastAsia="Arial" w:hAnsi="Arial" w:cs="Arial"/>
          <w:color w:val="000000"/>
        </w:rPr>
        <w:t> </w:t>
      </w:r>
      <w:r>
        <w:rPr>
          <w:rFonts w:ascii="Century Gothic" w:eastAsia="Century Gothic" w:hAnsi="Century Gothic" w:cs="Century Gothic"/>
          <w:color w:val="000000"/>
        </w:rPr>
        <w:t>historic significance; the critical nature of their threat; and the</w:t>
      </w:r>
      <w:r>
        <w:rPr>
          <w:rFonts w:ascii="Arial" w:eastAsia="Arial" w:hAnsi="Arial" w:cs="Arial"/>
          <w:color w:val="000000"/>
        </w:rPr>
        <w:t> </w:t>
      </w:r>
      <w:r>
        <w:rPr>
          <w:rFonts w:ascii="Century Gothic" w:eastAsia="Century Gothic" w:hAnsi="Century Gothic" w:cs="Century Gothic"/>
          <w:color w:val="000000"/>
        </w:rPr>
        <w:t>likelihood</w:t>
      </w:r>
      <w:r>
        <w:rPr>
          <w:rFonts w:ascii="Arial" w:eastAsia="Arial" w:hAnsi="Arial" w:cs="Arial"/>
          <w:color w:val="000000"/>
        </w:rPr>
        <w:t> </w:t>
      </w:r>
      <w:r>
        <w:rPr>
          <w:rFonts w:ascii="Century Gothic" w:eastAsia="Century Gothic" w:hAnsi="Century Gothic" w:cs="Century Gothic"/>
          <w:color w:val="000000"/>
        </w:rPr>
        <w:t>to bring about a positive resolution to their situation</w:t>
      </w:r>
      <w:r>
        <w:rPr>
          <w:rFonts w:ascii="Arial" w:eastAsia="Arial" w:hAnsi="Arial" w:cs="Arial"/>
          <w:color w:val="000000"/>
        </w:rPr>
        <w:t> </w:t>
      </w:r>
      <w:r>
        <w:rPr>
          <w:rFonts w:ascii="Century Gothic" w:eastAsia="Century Gothic" w:hAnsi="Century Gothic" w:cs="Century Gothic"/>
          <w:color w:val="000000"/>
        </w:rPr>
        <w:t>or</w:t>
      </w:r>
      <w:r>
        <w:rPr>
          <w:rFonts w:ascii="Arial" w:eastAsia="Arial" w:hAnsi="Arial" w:cs="Arial"/>
          <w:color w:val="000000"/>
        </w:rPr>
        <w:t> </w:t>
      </w:r>
      <w:r>
        <w:rPr>
          <w:rFonts w:ascii="Century Gothic" w:eastAsia="Century Gothic" w:hAnsi="Century Gothic" w:cs="Century Gothic"/>
          <w:color w:val="000000"/>
        </w:rPr>
        <w:t>to those of similar sites.</w:t>
      </w:r>
      <w:r>
        <w:rPr>
          <w:rFonts w:ascii="Arial" w:eastAsia="Arial" w:hAnsi="Arial" w:cs="Arial"/>
          <w:color w:val="000000"/>
        </w:rPr>
        <w:t>  </w:t>
      </w:r>
      <w:r>
        <w:rPr>
          <w:rFonts w:ascii="Century Gothic" w:eastAsia="Century Gothic" w:hAnsi="Century Gothic" w:cs="Century Gothic"/>
          <w:color w:val="000000"/>
        </w:rPr>
        <w:t>More information about the program, including nomination form, and a complete list of</w:t>
      </w:r>
      <w:r>
        <w:rPr>
          <w:rFonts w:ascii="Arial" w:eastAsia="Arial" w:hAnsi="Arial" w:cs="Arial"/>
          <w:color w:val="000000"/>
        </w:rPr>
        <w:t> </w:t>
      </w:r>
      <w:r>
        <w:rPr>
          <w:rFonts w:ascii="Century Gothic" w:eastAsia="Century Gothic" w:hAnsi="Century Gothic" w:cs="Century Gothic"/>
          <w:color w:val="000000"/>
        </w:rPr>
        <w:t xml:space="preserve">sites may be found at </w:t>
      </w:r>
      <w:r w:rsidR="004D7096" w:rsidRPr="004D7096">
        <w:t>https://www.lthp.org/most-endangered/</w:t>
      </w:r>
      <w:r>
        <w:rPr>
          <w:rFonts w:ascii="Century Gothic" w:eastAsia="Century Gothic" w:hAnsi="Century Gothic" w:cs="Century Gothic"/>
          <w:color w:val="000000"/>
        </w:rPr>
        <w:t xml:space="preserve">. </w:t>
      </w:r>
    </w:p>
    <w:p w:rsidR="00D57E8A" w:rsidRDefault="0088296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rsidR="00D57E8A" w:rsidRDefault="0088296A" w:rsidP="002A7648">
      <w:pPr>
        <w:pBdr>
          <w:top w:val="nil"/>
          <w:left w:val="nil"/>
          <w:bottom w:val="nil"/>
          <w:right w:val="nil"/>
          <w:between w:val="nil"/>
        </w:pBdr>
        <w:spacing w:after="0" w:line="240" w:lineRule="auto"/>
        <w:rPr>
          <w:rFonts w:ascii="Century Gothic" w:eastAsia="Century Gothic" w:hAnsi="Century Gothic" w:cs="Century Gothic"/>
          <w:color w:val="000000"/>
          <w:sz w:val="28"/>
          <w:szCs w:val="28"/>
        </w:rPr>
      </w:pPr>
      <w:r>
        <w:rPr>
          <w:rFonts w:ascii="Century Gothic" w:eastAsia="Century Gothic" w:hAnsi="Century Gothic" w:cs="Century Gothic"/>
          <w:b/>
          <w:color w:val="000000"/>
          <w:sz w:val="28"/>
          <w:szCs w:val="28"/>
        </w:rPr>
        <w:t>2022 Additions to Louisiana’s Most Endangered Places List:</w:t>
      </w:r>
      <w:r>
        <w:rPr>
          <w:rFonts w:ascii="Arial" w:eastAsia="Arial" w:hAnsi="Arial" w:cs="Arial"/>
          <w:color w:val="000000"/>
          <w:sz w:val="28"/>
          <w:szCs w:val="28"/>
        </w:rPr>
        <w:t> </w:t>
      </w:r>
      <w:r>
        <w:rPr>
          <w:rFonts w:ascii="Century Gothic" w:eastAsia="Century Gothic" w:hAnsi="Century Gothic" w:cs="Century Gothic"/>
          <w:color w:val="000000"/>
          <w:sz w:val="28"/>
          <w:szCs w:val="28"/>
        </w:rPr>
        <w:t> </w:t>
      </w:r>
    </w:p>
    <w:p w:rsidR="00D57E8A" w:rsidRDefault="0088296A" w:rsidP="002A7648">
      <w:pPr>
        <w:pBdr>
          <w:top w:val="nil"/>
          <w:left w:val="nil"/>
          <w:bottom w:val="nil"/>
          <w:right w:val="nil"/>
          <w:between w:val="nil"/>
        </w:pBdr>
        <w:spacing w:after="0" w:line="240" w:lineRule="auto"/>
        <w:rPr>
          <w:rFonts w:ascii="Century Gothic" w:eastAsia="Century Gothic" w:hAnsi="Century Gothic" w:cs="Century Gothic"/>
          <w:color w:val="000000"/>
          <w:sz w:val="28"/>
          <w:szCs w:val="28"/>
        </w:rPr>
      </w:pPr>
      <w:r>
        <w:rPr>
          <w:rFonts w:ascii="Century Gothic" w:eastAsia="Century Gothic" w:hAnsi="Century Gothic" w:cs="Century Gothic"/>
          <w:color w:val="000000"/>
        </w:rPr>
        <w:t>Alphabetical by Parish</w:t>
      </w:r>
    </w:p>
    <w:p w:rsidR="00D57E8A" w:rsidRDefault="0088296A" w:rsidP="002A7648">
      <w:pPr>
        <w:pBdr>
          <w:top w:val="nil"/>
          <w:left w:val="nil"/>
          <w:bottom w:val="nil"/>
          <w:right w:val="nil"/>
          <w:between w:val="nil"/>
        </w:pBdr>
        <w:spacing w:before="280" w:after="28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Grave Houses at </w:t>
      </w:r>
      <w:proofErr w:type="spellStart"/>
      <w:r>
        <w:rPr>
          <w:rFonts w:ascii="Century Gothic" w:eastAsia="Century Gothic" w:hAnsi="Century Gothic" w:cs="Century Gothic"/>
          <w:b/>
          <w:color w:val="000000"/>
        </w:rPr>
        <w:t>Istre</w:t>
      </w:r>
      <w:proofErr w:type="spellEnd"/>
      <w:r>
        <w:rPr>
          <w:rFonts w:ascii="Century Gothic" w:eastAsia="Century Gothic" w:hAnsi="Century Gothic" w:cs="Century Gothic"/>
          <w:b/>
          <w:color w:val="000000"/>
        </w:rPr>
        <w:t xml:space="preserve"> Cemetery (Morse, Acadia Parish, c. 1900) </w:t>
      </w:r>
      <w:r>
        <w:rPr>
          <w:rFonts w:ascii="Century Gothic" w:eastAsia="Century Gothic" w:hAnsi="Century Gothic" w:cs="Century Gothic"/>
          <w:color w:val="000000"/>
        </w:rPr>
        <w:t xml:space="preserve">- Out of the forty that existed, only three historic grave houses remain in this cemetery.  Due to this rare and unusual burial tradition, the cemetery was placed on the National Register of Historic Places in 2008. The grave houses have been the subject of a book and a documentary </w:t>
      </w:r>
      <w:r>
        <w:rPr>
          <w:rFonts w:ascii="Century Gothic" w:eastAsia="Century Gothic" w:hAnsi="Century Gothic" w:cs="Century Gothic"/>
        </w:rPr>
        <w:t>in an attempt</w:t>
      </w:r>
      <w:r>
        <w:rPr>
          <w:rFonts w:ascii="Century Gothic" w:eastAsia="Century Gothic" w:hAnsi="Century Gothic" w:cs="Century Gothic"/>
          <w:color w:val="000000"/>
        </w:rPr>
        <w:t xml:space="preserve"> to raise awareness of the site.  A skilled caretaker and restoration plan are needed to keep the remaining houses standing.  </w:t>
      </w:r>
    </w:p>
    <w:p w:rsidR="00D57E8A" w:rsidRDefault="0088296A" w:rsidP="002A7648">
      <w:pPr>
        <w:pBdr>
          <w:top w:val="nil"/>
          <w:left w:val="nil"/>
          <w:bottom w:val="nil"/>
          <w:right w:val="nil"/>
          <w:between w:val="nil"/>
        </w:pBdr>
        <w:spacing w:before="280" w:after="280" w:line="240" w:lineRule="auto"/>
        <w:rPr>
          <w:rFonts w:ascii="Century Gothic" w:eastAsia="Century Gothic" w:hAnsi="Century Gothic" w:cs="Century Gothic"/>
          <w:color w:val="000000"/>
        </w:rPr>
      </w:pPr>
      <w:r>
        <w:rPr>
          <w:rFonts w:ascii="Century Gothic" w:eastAsia="Century Gothic" w:hAnsi="Century Gothic" w:cs="Century Gothic"/>
          <w:b/>
          <w:color w:val="000000"/>
        </w:rPr>
        <w:lastRenderedPageBreak/>
        <w:t xml:space="preserve">Hamburg Post Office/General Store (Hamburg, Avoyelles Parish, 1830s) </w:t>
      </w:r>
      <w:r>
        <w:rPr>
          <w:rFonts w:ascii="Century Gothic" w:eastAsia="Century Gothic" w:hAnsi="Century Gothic" w:cs="Century Gothic"/>
          <w:color w:val="000000"/>
        </w:rPr>
        <w:t xml:space="preserve">- The site was originally the Hamburg commissary, an ancillary structure of </w:t>
      </w:r>
      <w:proofErr w:type="spellStart"/>
      <w:r>
        <w:rPr>
          <w:rFonts w:ascii="Century Gothic" w:eastAsia="Century Gothic" w:hAnsi="Century Gothic" w:cs="Century Gothic"/>
          <w:color w:val="000000"/>
        </w:rPr>
        <w:t>Calliham</w:t>
      </w:r>
      <w:proofErr w:type="spellEnd"/>
      <w:r>
        <w:rPr>
          <w:rFonts w:ascii="Century Gothic" w:eastAsia="Century Gothic" w:hAnsi="Century Gothic" w:cs="Century Gothic"/>
          <w:color w:val="000000"/>
        </w:rPr>
        <w:t xml:space="preserve"> Plantation. The Post Office opened in 1888 and the building remained in the same family for 8 generations. The front of the building was modernized with bricks in the 1950s/1960s.</w:t>
      </w:r>
      <w:r>
        <w:rPr>
          <w:rFonts w:ascii="Century Gothic" w:eastAsia="Century Gothic" w:hAnsi="Century Gothic" w:cs="Century Gothic"/>
        </w:rPr>
        <w:t xml:space="preserve"> The building has remained vacant since a fire in 2000.</w:t>
      </w:r>
      <w:r>
        <w:rPr>
          <w:rFonts w:ascii="Century Gothic" w:eastAsia="Century Gothic" w:hAnsi="Century Gothic" w:cs="Century Gothic"/>
          <w:color w:val="000000"/>
        </w:rPr>
        <w:t xml:space="preserve">  It was the inspiration for creating the new Bayou des </w:t>
      </w:r>
      <w:proofErr w:type="spellStart"/>
      <w:r>
        <w:rPr>
          <w:rFonts w:ascii="Century Gothic" w:eastAsia="Century Gothic" w:hAnsi="Century Gothic" w:cs="Century Gothic"/>
          <w:color w:val="000000"/>
        </w:rPr>
        <w:t>Glaises</w:t>
      </w:r>
      <w:proofErr w:type="spellEnd"/>
      <w:r>
        <w:rPr>
          <w:rFonts w:ascii="Century Gothic" w:eastAsia="Century Gothic" w:hAnsi="Century Gothic" w:cs="Century Gothic"/>
          <w:color w:val="000000"/>
        </w:rPr>
        <w:t xml:space="preserve"> Cultural District. </w:t>
      </w:r>
    </w:p>
    <w:p w:rsidR="00D57E8A" w:rsidRDefault="0088296A" w:rsidP="002A7648">
      <w:pPr>
        <w:pBdr>
          <w:top w:val="nil"/>
          <w:left w:val="nil"/>
          <w:bottom w:val="nil"/>
          <w:right w:val="nil"/>
          <w:between w:val="nil"/>
        </w:pBdr>
        <w:spacing w:before="280" w:after="280" w:line="240" w:lineRule="auto"/>
        <w:rPr>
          <w:rFonts w:ascii="Century Gothic" w:eastAsia="Century Gothic" w:hAnsi="Century Gothic" w:cs="Century Gothic"/>
          <w:color w:val="000000"/>
        </w:rPr>
      </w:pPr>
      <w:r>
        <w:rPr>
          <w:rFonts w:ascii="Century Gothic" w:eastAsia="Century Gothic" w:hAnsi="Century Gothic" w:cs="Century Gothic"/>
          <w:b/>
          <w:color w:val="000000"/>
        </w:rPr>
        <w:t>Shreveport Friendship House (Shreveport, Caddo Parish, 19</w:t>
      </w:r>
      <w:r>
        <w:rPr>
          <w:rFonts w:ascii="Century Gothic" w:eastAsia="Century Gothic" w:hAnsi="Century Gothic" w:cs="Century Gothic"/>
          <w:b/>
        </w:rPr>
        <w:t>05</w:t>
      </w:r>
      <w:r>
        <w:rPr>
          <w:rFonts w:ascii="Century Gothic" w:eastAsia="Century Gothic" w:hAnsi="Century Gothic" w:cs="Century Gothic"/>
          <w:b/>
          <w:color w:val="000000"/>
        </w:rPr>
        <w:t xml:space="preserve">) - </w:t>
      </w:r>
      <w:r>
        <w:rPr>
          <w:rFonts w:ascii="Century Gothic" w:eastAsia="Century Gothic" w:hAnsi="Century Gothic" w:cs="Century Gothic"/>
          <w:color w:val="000000"/>
        </w:rPr>
        <w:t xml:space="preserve">This simple frame structure was built </w:t>
      </w:r>
      <w:r>
        <w:rPr>
          <w:rFonts w:ascii="Century Gothic" w:eastAsia="Century Gothic" w:hAnsi="Century Gothic" w:cs="Century Gothic"/>
        </w:rPr>
        <w:t>around 1905</w:t>
      </w:r>
      <w:r>
        <w:rPr>
          <w:rFonts w:ascii="Century Gothic" w:eastAsia="Century Gothic" w:hAnsi="Century Gothic" w:cs="Century Gothic"/>
          <w:color w:val="000000"/>
        </w:rPr>
        <w:t xml:space="preserve"> but is significant as the only Friendship House established in the South.  Friendship House was a national organization and an element of the social justice movement of the mid-20th century advocating for integration without regard to race or religion. This Friendship House was associated with Father Joseph </w:t>
      </w:r>
      <w:proofErr w:type="spellStart"/>
      <w:r>
        <w:rPr>
          <w:rFonts w:ascii="Century Gothic" w:eastAsia="Century Gothic" w:hAnsi="Century Gothic" w:cs="Century Gothic"/>
          <w:color w:val="000000"/>
        </w:rPr>
        <w:t>Gremillion</w:t>
      </w:r>
      <w:proofErr w:type="spellEnd"/>
      <w:r>
        <w:rPr>
          <w:rFonts w:ascii="Century Gothic" w:eastAsia="Century Gothic" w:hAnsi="Century Gothic" w:cs="Century Gothic"/>
          <w:color w:val="000000"/>
        </w:rPr>
        <w:t xml:space="preserve"> who founded and served as a pastor of St. Joseph Parish in Shreveport, 1949-1958.  He later took an academic role at the University of Notre Dame.  The Shreveport Friendship closed July 31, 1955 after less than 2 years </w:t>
      </w:r>
      <w:r>
        <w:rPr>
          <w:rFonts w:ascii="Century Gothic" w:eastAsia="Century Gothic" w:hAnsi="Century Gothic" w:cs="Century Gothic"/>
        </w:rPr>
        <w:t>in operation</w:t>
      </w:r>
      <w:r>
        <w:rPr>
          <w:rFonts w:ascii="Century Gothic" w:eastAsia="Century Gothic" w:hAnsi="Century Gothic" w:cs="Century Gothic"/>
          <w:color w:val="000000"/>
        </w:rPr>
        <w:t>.</w:t>
      </w:r>
      <w:r>
        <w:rPr>
          <w:rFonts w:ascii="Century Gothic" w:eastAsia="Century Gothic" w:hAnsi="Century Gothic" w:cs="Century Gothic"/>
          <w:b/>
          <w:color w:val="000000"/>
        </w:rPr>
        <w:t xml:space="preserve">  </w:t>
      </w:r>
    </w:p>
    <w:p w:rsidR="00D57E8A" w:rsidRDefault="0088296A" w:rsidP="002A7648">
      <w:pPr>
        <w:pBdr>
          <w:top w:val="nil"/>
          <w:left w:val="nil"/>
          <w:bottom w:val="nil"/>
          <w:right w:val="nil"/>
          <w:between w:val="nil"/>
        </w:pBdr>
        <w:spacing w:before="280" w:after="280" w:line="240" w:lineRule="auto"/>
        <w:rPr>
          <w:rFonts w:ascii="Century Gothic" w:eastAsia="Century Gothic" w:hAnsi="Century Gothic" w:cs="Century Gothic"/>
        </w:rPr>
      </w:pPr>
      <w:r>
        <w:rPr>
          <w:rFonts w:ascii="Century Gothic" w:eastAsia="Century Gothic" w:hAnsi="Century Gothic" w:cs="Century Gothic"/>
          <w:b/>
          <w:color w:val="000000"/>
        </w:rPr>
        <w:t xml:space="preserve">Woolworth Building (Shreveport, Caddo Parish, c. 1908) </w:t>
      </w:r>
      <w:r>
        <w:rPr>
          <w:rFonts w:ascii="Century Gothic" w:eastAsia="Century Gothic" w:hAnsi="Century Gothic" w:cs="Century Gothic"/>
          <w:color w:val="000000"/>
        </w:rPr>
        <w:t xml:space="preserve">- The F.W. Woolworth Dept Store occupied this building for much of the 20th century.  It had several remodels and even a mid-century facade update (since removed).   It is home to Louisiana's oldest operating escalator.  It was last remodeled in the 1990s. </w:t>
      </w:r>
      <w:r>
        <w:rPr>
          <w:rFonts w:ascii="Century Gothic" w:eastAsia="Century Gothic" w:hAnsi="Century Gothic" w:cs="Century Gothic"/>
        </w:rPr>
        <w:t>The building currently sits vacant and suffers from demolition by neglect along Shreveport's main business corridor.</w:t>
      </w:r>
    </w:p>
    <w:p w:rsidR="00D57E8A" w:rsidRDefault="0088296A" w:rsidP="002A7648">
      <w:pPr>
        <w:pBdr>
          <w:top w:val="nil"/>
          <w:left w:val="nil"/>
          <w:bottom w:val="nil"/>
          <w:right w:val="nil"/>
          <w:between w:val="nil"/>
        </w:pBdr>
        <w:spacing w:before="280" w:after="28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Grand Avenue High School Gym (Dequincy, Calcasieu Parish, 1955) </w:t>
      </w:r>
      <w:r>
        <w:rPr>
          <w:rFonts w:ascii="Century Gothic" w:eastAsia="Century Gothic" w:hAnsi="Century Gothic" w:cs="Century Gothic"/>
          <w:color w:val="000000"/>
        </w:rPr>
        <w:t xml:space="preserve">- Built in the </w:t>
      </w:r>
      <w:r w:rsidR="00DD0FD6">
        <w:rPr>
          <w:rFonts w:ascii="Century Gothic" w:eastAsia="Century Gothic" w:hAnsi="Century Gothic" w:cs="Century Gothic"/>
          <w:color w:val="000000"/>
        </w:rPr>
        <w:t>mid-1950s</w:t>
      </w:r>
      <w:r>
        <w:rPr>
          <w:rFonts w:ascii="Century Gothic" w:eastAsia="Century Gothic" w:hAnsi="Century Gothic" w:cs="Century Gothic"/>
          <w:color w:val="000000"/>
        </w:rPr>
        <w:t xml:space="preserve">, this gymnasium was built to accommodate students of the DeQuincy Colored School (both elementary and high school aged).  Physical education classes were held outside before this gym was built.  It hosted basketball games, sports tournaments, proms, graduations, high school plays, and much more. It is the site of one of the highest recorded scores for a high school basketball game.  The rest of the school buildings were demolished in 1990 but the surviving gym was listed on the National Register in 2017.  Severe damage occurred to the structure in 2020.  Active alumni hope to save the site for community orientated space for educational purposes or even a disaster relief and staging center.  </w:t>
      </w:r>
    </w:p>
    <w:p w:rsidR="00D57E8A" w:rsidRDefault="0088296A" w:rsidP="002A7648">
      <w:pPr>
        <w:pBdr>
          <w:top w:val="nil"/>
          <w:left w:val="nil"/>
          <w:bottom w:val="nil"/>
          <w:right w:val="nil"/>
          <w:between w:val="nil"/>
        </w:pBdr>
        <w:spacing w:before="280" w:after="28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Palace Theater (Jonesboro, Jackson Parish, 1925) </w:t>
      </w:r>
      <w:r>
        <w:rPr>
          <w:rFonts w:ascii="Century Gothic" w:eastAsia="Century Gothic" w:hAnsi="Century Gothic" w:cs="Century Gothic"/>
          <w:color w:val="000000"/>
        </w:rPr>
        <w:t xml:space="preserve">- This entertainment venue was built in 1925 and was updated to its current style of Art Deco (and some Spanish Colonial Revival) shortly after in the 1930s when stucco was applied to its facade. It became a popular gathering space for this rural north central Louisiana community.  Entrances and seating were segregated </w:t>
      </w:r>
      <w:r>
        <w:rPr>
          <w:rFonts w:ascii="Century Gothic" w:eastAsia="Century Gothic" w:hAnsi="Century Gothic" w:cs="Century Gothic"/>
        </w:rPr>
        <w:t>by</w:t>
      </w:r>
      <w:r>
        <w:rPr>
          <w:rFonts w:ascii="Century Gothic" w:eastAsia="Century Gothic" w:hAnsi="Century Gothic" w:cs="Century Gothic"/>
          <w:color w:val="000000"/>
        </w:rPr>
        <w:t xml:space="preserve"> its original design.  In 1965, the theater and two nearby restaurants were sued </w:t>
      </w:r>
      <w:r>
        <w:rPr>
          <w:rFonts w:ascii="Century Gothic" w:eastAsia="Century Gothic" w:hAnsi="Century Gothic" w:cs="Century Gothic"/>
        </w:rPr>
        <w:t xml:space="preserve">by the US Attorney General </w:t>
      </w:r>
      <w:r>
        <w:rPr>
          <w:rFonts w:ascii="Century Gothic" w:eastAsia="Century Gothic" w:hAnsi="Century Gothic" w:cs="Century Gothic"/>
          <w:color w:val="000000"/>
        </w:rPr>
        <w:t>for refusing black patrons.  It has been vacant for decades, but the Greater North Louisiana Community Development Corporation hopes to return it back to an entertainment attraction again.  They are actively fundraising to make major renovations to the National Register landmark.</w:t>
      </w:r>
    </w:p>
    <w:p w:rsidR="00D57E8A" w:rsidRDefault="0088296A" w:rsidP="002A7648">
      <w:pPr>
        <w:pBdr>
          <w:top w:val="nil"/>
          <w:left w:val="nil"/>
          <w:bottom w:val="nil"/>
          <w:right w:val="nil"/>
          <w:between w:val="nil"/>
        </w:pBdr>
        <w:spacing w:after="0"/>
        <w:rPr>
          <w:rFonts w:ascii="Times New Roman" w:eastAsia="Times New Roman" w:hAnsi="Times New Roman" w:cs="Times New Roman"/>
          <w:color w:val="000000"/>
        </w:rPr>
      </w:pPr>
      <w:r>
        <w:rPr>
          <w:rFonts w:ascii="Century Gothic" w:eastAsia="Century Gothic" w:hAnsi="Century Gothic" w:cs="Century Gothic"/>
          <w:b/>
          <w:color w:val="000000"/>
        </w:rPr>
        <w:t xml:space="preserve">11 Mile Stretch (West Bank of St. John the Baptist Parish) </w:t>
      </w:r>
      <w:r>
        <w:rPr>
          <w:rFonts w:ascii="Century Gothic" w:eastAsia="Century Gothic" w:hAnsi="Century Gothic" w:cs="Century Gothic"/>
          <w:color w:val="000000"/>
        </w:rPr>
        <w:t xml:space="preserve">- This area was settled in 1724, often known as the Second German Coast.  It is the cradle of the Creole Culture of </w:t>
      </w:r>
      <w:r>
        <w:rPr>
          <w:rFonts w:ascii="Century Gothic" w:eastAsia="Century Gothic" w:hAnsi="Century Gothic" w:cs="Century Gothic"/>
          <w:color w:val="000000"/>
        </w:rPr>
        <w:lastRenderedPageBreak/>
        <w:t xml:space="preserve">Louisiana. Its unique history has been preserved through </w:t>
      </w:r>
      <w:r>
        <w:rPr>
          <w:rFonts w:ascii="Century Gothic" w:eastAsia="Century Gothic" w:hAnsi="Century Gothic" w:cs="Century Gothic"/>
        </w:rPr>
        <w:t>its</w:t>
      </w:r>
      <w:r>
        <w:rPr>
          <w:rFonts w:ascii="Century Gothic" w:eastAsia="Century Gothic" w:hAnsi="Century Gothic" w:cs="Century Gothic"/>
          <w:color w:val="000000"/>
        </w:rPr>
        <w:t xml:space="preserve"> agriculture, rural landscape, and cultural resources that has attracted </w:t>
      </w:r>
      <w:r w:rsidR="00463CF6">
        <w:rPr>
          <w:rFonts w:ascii="Century Gothic" w:eastAsia="Century Gothic" w:hAnsi="Century Gothic" w:cs="Century Gothic"/>
          <w:color w:val="000000"/>
        </w:rPr>
        <w:t>thousands</w:t>
      </w:r>
      <w:r>
        <w:rPr>
          <w:rFonts w:ascii="Century Gothic" w:eastAsia="Century Gothic" w:hAnsi="Century Gothic" w:cs="Century Gothic"/>
          <w:color w:val="000000"/>
        </w:rPr>
        <w:t xml:space="preserve"> of annual tourists.  Plans for a </w:t>
      </w:r>
      <w:r w:rsidR="00463CF6">
        <w:rPr>
          <w:rFonts w:ascii="Century Gothic" w:eastAsia="Century Gothic" w:hAnsi="Century Gothic" w:cs="Century Gothic"/>
          <w:color w:val="000000"/>
        </w:rPr>
        <w:t>large-scale</w:t>
      </w:r>
      <w:r>
        <w:rPr>
          <w:rFonts w:ascii="Century Gothic" w:eastAsia="Century Gothic" w:hAnsi="Century Gothic" w:cs="Century Gothic"/>
          <w:color w:val="000000"/>
        </w:rPr>
        <w:t xml:space="preserve"> grain elevator, port and other industrial development will change this corridor's historic integrity and destroy the overall quality of life for local residents.  </w:t>
      </w:r>
    </w:p>
    <w:p w:rsidR="00D57E8A" w:rsidRDefault="0088296A" w:rsidP="002A7648">
      <w:pPr>
        <w:pBdr>
          <w:top w:val="nil"/>
          <w:left w:val="nil"/>
          <w:bottom w:val="nil"/>
          <w:right w:val="nil"/>
          <w:between w:val="nil"/>
        </w:pBdr>
        <w:spacing w:before="280" w:after="28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San Francisco Plantation (Garyville, St. John the Baptist Parish, 1856) </w:t>
      </w:r>
      <w:r>
        <w:rPr>
          <w:rFonts w:ascii="Century Gothic" w:eastAsia="Century Gothic" w:hAnsi="Century Gothic" w:cs="Century Gothic"/>
          <w:color w:val="000000"/>
        </w:rPr>
        <w:t xml:space="preserve">- Among the many surviving plantations along River Road, San Francisco has one of the most ornate and opulent architectural styles often referred to as “Steamboat Gothic” in publications. It was designated a National Historic Landmark in 1974.  </w:t>
      </w:r>
    </w:p>
    <w:p w:rsidR="00D57E8A" w:rsidRDefault="0088296A" w:rsidP="002A7648">
      <w:pPr>
        <w:pBdr>
          <w:top w:val="nil"/>
          <w:left w:val="nil"/>
          <w:bottom w:val="nil"/>
          <w:right w:val="nil"/>
          <w:between w:val="nil"/>
        </w:pBdr>
        <w:spacing w:before="280" w:after="28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Public tours ended permanently in September 2021.  Concerns for its future include if the property would be relocated or </w:t>
      </w:r>
      <w:r>
        <w:rPr>
          <w:rFonts w:ascii="Century Gothic" w:eastAsia="Century Gothic" w:hAnsi="Century Gothic" w:cs="Century Gothic"/>
        </w:rPr>
        <w:t>allowed</w:t>
      </w:r>
      <w:r>
        <w:rPr>
          <w:rFonts w:ascii="Century Gothic" w:eastAsia="Century Gothic" w:hAnsi="Century Gothic" w:cs="Century Gothic"/>
          <w:color w:val="000000"/>
        </w:rPr>
        <w:t xml:space="preserve"> to deteriorate as the surrounding industry expands.  </w:t>
      </w:r>
    </w:p>
    <w:p w:rsidR="00D57E8A" w:rsidRDefault="0088296A" w:rsidP="002A7648">
      <w:pPr>
        <w:pBdr>
          <w:top w:val="nil"/>
          <w:left w:val="nil"/>
          <w:bottom w:val="nil"/>
          <w:right w:val="nil"/>
          <w:between w:val="nil"/>
        </w:pBdr>
        <w:spacing w:before="280" w:after="28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Baldwin School (Baldwin, St. Mary Parish, 1939) </w:t>
      </w:r>
      <w:r>
        <w:rPr>
          <w:rFonts w:ascii="Century Gothic" w:eastAsia="Century Gothic" w:hAnsi="Century Gothic" w:cs="Century Gothic"/>
          <w:color w:val="000000"/>
        </w:rPr>
        <w:t xml:space="preserve">- This </w:t>
      </w:r>
      <w:r w:rsidR="00463CF6">
        <w:rPr>
          <w:rFonts w:ascii="Century Gothic" w:eastAsia="Century Gothic" w:hAnsi="Century Gothic" w:cs="Century Gothic"/>
          <w:color w:val="000000"/>
        </w:rPr>
        <w:t>one-story</w:t>
      </w:r>
      <w:r>
        <w:rPr>
          <w:rFonts w:ascii="Century Gothic" w:eastAsia="Century Gothic" w:hAnsi="Century Gothic" w:cs="Century Gothic"/>
          <w:color w:val="000000"/>
        </w:rPr>
        <w:t xml:space="preserve"> school building opened in 1939 near Bayou Teche.  It is a simple design constructed of standard cinder block with several windows in each classroom.  This school housed students from grades 1-7 until a new school was built in late 1990s.  The new vision for the school is to convert it to the Baldwin Town Hall with the town’s post office and community space connecting it to the town’s fire station located directly behind the former school building.  </w:t>
      </w:r>
    </w:p>
    <w:p w:rsidR="00D57E8A" w:rsidRDefault="0088296A" w:rsidP="002A7648">
      <w:pPr>
        <w:pBdr>
          <w:top w:val="nil"/>
          <w:left w:val="nil"/>
          <w:bottom w:val="nil"/>
          <w:right w:val="nil"/>
          <w:between w:val="nil"/>
        </w:pBdr>
        <w:spacing w:after="0"/>
        <w:rPr>
          <w:rFonts w:ascii="Century Gothic" w:eastAsia="Century Gothic" w:hAnsi="Century Gothic" w:cs="Century Gothic"/>
          <w:color w:val="000000"/>
        </w:rPr>
      </w:pPr>
      <w:proofErr w:type="spellStart"/>
      <w:r>
        <w:rPr>
          <w:rFonts w:ascii="Century Gothic" w:eastAsia="Century Gothic" w:hAnsi="Century Gothic" w:cs="Century Gothic"/>
          <w:b/>
          <w:color w:val="000000"/>
        </w:rPr>
        <w:t>Daigleville</w:t>
      </w:r>
      <w:proofErr w:type="spellEnd"/>
      <w:r>
        <w:rPr>
          <w:rFonts w:ascii="Century Gothic" w:eastAsia="Century Gothic" w:hAnsi="Century Gothic" w:cs="Century Gothic"/>
          <w:b/>
          <w:color w:val="000000"/>
        </w:rPr>
        <w:t xml:space="preserve"> Indian School (Houma, Terrebonne Parish, 1937) </w:t>
      </w:r>
      <w:r>
        <w:rPr>
          <w:rFonts w:ascii="Century Gothic" w:eastAsia="Century Gothic" w:hAnsi="Century Gothic" w:cs="Century Gothic"/>
          <w:color w:val="000000"/>
        </w:rPr>
        <w:t xml:space="preserve">- This Neo-Classical style building represents the tripartite system of segregated education that existed in Terrebonne and Lafourche Parishes when Native American were excluded from white and Black schools.  Houma Nation students continued to attend the school following desegregation in the 1960s.   The United Houma Nation is working to acquire the property from the Terrebonne Parish School Board as well as repair damage from Hurricane Ida.  It was listed on the National Register in 2020. </w:t>
      </w:r>
    </w:p>
    <w:p w:rsidR="00D57E8A" w:rsidRDefault="00D57E8A" w:rsidP="002A7648">
      <w:pPr>
        <w:pBdr>
          <w:top w:val="nil"/>
          <w:left w:val="nil"/>
          <w:bottom w:val="nil"/>
          <w:right w:val="nil"/>
          <w:between w:val="nil"/>
        </w:pBdr>
        <w:spacing w:after="0"/>
        <w:rPr>
          <w:rFonts w:ascii="Century Gothic" w:eastAsia="Century Gothic" w:hAnsi="Century Gothic" w:cs="Century Gothic"/>
          <w:color w:val="000000"/>
        </w:rPr>
      </w:pPr>
    </w:p>
    <w:p w:rsidR="00D57E8A" w:rsidRDefault="0088296A" w:rsidP="002A7648">
      <w:p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b/>
          <w:color w:val="000000"/>
        </w:rPr>
        <w:t xml:space="preserve">Trappers Store (Theriot, Terrebonne Parish, 1900) </w:t>
      </w:r>
      <w:r>
        <w:rPr>
          <w:rFonts w:ascii="Century Gothic" w:eastAsia="Century Gothic" w:hAnsi="Century Gothic" w:cs="Century Gothic"/>
          <w:color w:val="000000"/>
        </w:rPr>
        <w:t xml:space="preserve">- This structure was built by John A. Marmande to serve the needs of the lower </w:t>
      </w:r>
      <w:proofErr w:type="spellStart"/>
      <w:r>
        <w:rPr>
          <w:rFonts w:ascii="Century Gothic" w:eastAsia="Century Gothic" w:hAnsi="Century Gothic" w:cs="Century Gothic"/>
          <w:color w:val="000000"/>
        </w:rPr>
        <w:t>Dularge</w:t>
      </w:r>
      <w:proofErr w:type="spellEnd"/>
      <w:r>
        <w:rPr>
          <w:rFonts w:ascii="Century Gothic" w:eastAsia="Century Gothic" w:hAnsi="Century Gothic" w:cs="Century Gothic"/>
          <w:color w:val="000000"/>
        </w:rPr>
        <w:t xml:space="preserve"> community and its seasonal population of fur trappers.  It features original cypress construction.  It later went on to become a general store and post office station.  Today it sits vacant and exposed to the elements since Hurricane Ida with concerns of its longevity.  </w:t>
      </w:r>
    </w:p>
    <w:p w:rsidR="00D57E8A" w:rsidRDefault="00D57E8A" w:rsidP="002A7648">
      <w:pPr>
        <w:pBdr>
          <w:top w:val="nil"/>
          <w:left w:val="nil"/>
          <w:bottom w:val="nil"/>
          <w:right w:val="nil"/>
          <w:between w:val="nil"/>
        </w:pBdr>
        <w:spacing w:after="0"/>
        <w:rPr>
          <w:rFonts w:ascii="Century Gothic" w:eastAsia="Century Gothic" w:hAnsi="Century Gothic" w:cs="Century Gothic"/>
          <w:color w:val="000000"/>
        </w:rPr>
      </w:pPr>
    </w:p>
    <w:p w:rsidR="00D57E8A" w:rsidRDefault="0088296A" w:rsidP="002A7648">
      <w:p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b/>
          <w:color w:val="000000"/>
        </w:rPr>
        <w:t>Sikes High School (Sikes, Winn Parish, 19</w:t>
      </w:r>
      <w:r>
        <w:rPr>
          <w:rFonts w:ascii="Century Gothic" w:eastAsia="Century Gothic" w:hAnsi="Century Gothic" w:cs="Century Gothic"/>
          <w:b/>
        </w:rPr>
        <w:t>29</w:t>
      </w:r>
      <w:r>
        <w:rPr>
          <w:rFonts w:ascii="Century Gothic" w:eastAsia="Century Gothic" w:hAnsi="Century Gothic" w:cs="Century Gothic"/>
          <w:b/>
          <w:color w:val="000000"/>
        </w:rPr>
        <w:t xml:space="preserve">) </w:t>
      </w:r>
      <w:r>
        <w:rPr>
          <w:rFonts w:ascii="Century Gothic" w:eastAsia="Century Gothic" w:hAnsi="Century Gothic" w:cs="Century Gothic"/>
          <w:color w:val="000000"/>
        </w:rPr>
        <w:t xml:space="preserve">- This school replaced an earlier one-room schoolhouse when </w:t>
      </w:r>
      <w:r>
        <w:rPr>
          <w:rFonts w:ascii="Century Gothic" w:eastAsia="Century Gothic" w:hAnsi="Century Gothic" w:cs="Century Gothic"/>
        </w:rPr>
        <w:t xml:space="preserve">it </w:t>
      </w:r>
      <w:r>
        <w:rPr>
          <w:rFonts w:ascii="Century Gothic" w:eastAsia="Century Gothic" w:hAnsi="Century Gothic" w:cs="Century Gothic"/>
          <w:color w:val="000000"/>
        </w:rPr>
        <w:t xml:space="preserve">was completed in 1929.  It took only four months to build at about $40,000.  Both the elementary school and high schools closed in late 1980s and have sat vacant ever since.  The Sikes Wolf Creek Handicraft Guild and local Council on Aging are partnering to find ways to save this school. It </w:t>
      </w:r>
      <w:r w:rsidR="00463CF6">
        <w:rPr>
          <w:rFonts w:ascii="Century Gothic" w:eastAsia="Century Gothic" w:hAnsi="Century Gothic" w:cs="Century Gothic"/>
          <w:color w:val="000000"/>
        </w:rPr>
        <w:t>needs</w:t>
      </w:r>
      <w:r>
        <w:rPr>
          <w:rFonts w:ascii="Century Gothic" w:eastAsia="Century Gothic" w:hAnsi="Century Gothic" w:cs="Century Gothic"/>
          <w:color w:val="000000"/>
        </w:rPr>
        <w:t xml:space="preserve"> major renovation and fundraising to restore it to a functional condition.  </w:t>
      </w:r>
    </w:p>
    <w:p w:rsidR="00D57E8A" w:rsidRDefault="00D57E8A" w:rsidP="002A7648">
      <w:pPr>
        <w:pBdr>
          <w:top w:val="nil"/>
          <w:left w:val="nil"/>
          <w:bottom w:val="nil"/>
          <w:right w:val="nil"/>
          <w:between w:val="nil"/>
        </w:pBdr>
        <w:spacing w:after="0"/>
        <w:rPr>
          <w:rFonts w:ascii="Century Gothic" w:eastAsia="Century Gothic" w:hAnsi="Century Gothic" w:cs="Century Gothic"/>
          <w:color w:val="000000"/>
        </w:rPr>
      </w:pPr>
    </w:p>
    <w:p w:rsidR="00D57E8A" w:rsidRDefault="0088296A" w:rsidP="002A7648">
      <w:p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b/>
          <w:color w:val="000000"/>
        </w:rPr>
        <w:t xml:space="preserve">Winnfield Intermediate School (Winnfield, Winn Parish, 1928) </w:t>
      </w:r>
      <w:r>
        <w:rPr>
          <w:rFonts w:ascii="Century Gothic" w:eastAsia="Century Gothic" w:hAnsi="Century Gothic" w:cs="Century Gothic"/>
          <w:color w:val="000000"/>
        </w:rPr>
        <w:t xml:space="preserve">- Originally built as the Winnfield High School, this educational landmark was constructed in 1928.  It was designed by Herman J. Duncan and constructed by Tudor &amp; Ratcliff, both of </w:t>
      </w:r>
      <w:r>
        <w:rPr>
          <w:rFonts w:ascii="Century Gothic" w:eastAsia="Century Gothic" w:hAnsi="Century Gothic" w:cs="Century Gothic"/>
          <w:color w:val="000000"/>
        </w:rPr>
        <w:lastRenderedPageBreak/>
        <w:t xml:space="preserve">Alexandria. Much of Winnfield’s historic fabric has been lost and this school has become one of the last notable landmarks standing.  Other modern schools have been built nearby and the last classes were held here in 2018.  A building and community assessment are needed to determine its condition and potential new uses.  </w:t>
      </w:r>
    </w:p>
    <w:p w:rsidR="00D57E8A" w:rsidRDefault="00D57E8A" w:rsidP="002A7648">
      <w:pPr>
        <w:pBdr>
          <w:top w:val="nil"/>
          <w:left w:val="nil"/>
          <w:bottom w:val="nil"/>
          <w:right w:val="nil"/>
          <w:between w:val="nil"/>
        </w:pBdr>
        <w:spacing w:after="0"/>
        <w:rPr>
          <w:rFonts w:ascii="Century Gothic" w:eastAsia="Century Gothic" w:hAnsi="Century Gothic" w:cs="Century Gothic"/>
          <w:color w:val="000000"/>
        </w:rPr>
      </w:pPr>
    </w:p>
    <w:p w:rsidR="00D57E8A" w:rsidRDefault="0088296A" w:rsidP="002A7648">
      <w:pPr>
        <w:pBdr>
          <w:top w:val="nil"/>
          <w:left w:val="nil"/>
          <w:bottom w:val="nil"/>
          <w:right w:val="nil"/>
          <w:between w:val="nil"/>
        </w:pBdr>
        <w:spacing w:after="0"/>
        <w:rPr>
          <w:rFonts w:ascii="Century Gothic" w:eastAsia="Century Gothic" w:hAnsi="Century Gothic" w:cs="Century Gothic"/>
          <w:color w:val="000000"/>
        </w:rPr>
      </w:pPr>
      <w:bookmarkStart w:id="1" w:name="_heading=h.gjdgxs" w:colFirst="0" w:colLast="0"/>
      <w:bookmarkEnd w:id="1"/>
      <w:r>
        <w:rPr>
          <w:rFonts w:ascii="Century Gothic" w:eastAsia="Century Gothic" w:hAnsi="Century Gothic" w:cs="Century Gothic"/>
          <w:b/>
          <w:color w:val="000000"/>
        </w:rPr>
        <w:t>Louisiana</w:t>
      </w:r>
      <w:r>
        <w:rPr>
          <w:rFonts w:ascii="Century Gothic" w:eastAsia="Century Gothic" w:hAnsi="Century Gothic" w:cs="Century Gothic"/>
          <w:b/>
        </w:rPr>
        <w:t xml:space="preserve"> Original</w:t>
      </w:r>
      <w:r>
        <w:rPr>
          <w:rFonts w:ascii="Century Gothic" w:eastAsia="Century Gothic" w:hAnsi="Century Gothic" w:cs="Century Gothic"/>
          <w:b/>
          <w:color w:val="000000"/>
        </w:rPr>
        <w:t xml:space="preserve"> Rosenwald School Buildings (Statewide, 1920-32) </w:t>
      </w:r>
      <w:r>
        <w:rPr>
          <w:rFonts w:ascii="Century Gothic" w:eastAsia="Century Gothic" w:hAnsi="Century Gothic" w:cs="Century Gothic"/>
          <w:color w:val="000000"/>
        </w:rPr>
        <w:t xml:space="preserve">- In the early 20th century, Booker T. Washington saw the lack of adequate school facilities in rural areas of the South and proposed an affordable and efficient model. He gained the financial support of Julius Rosenwald, Jewish philanthropist and president of Sears, Roebuck and Co. Between 1920 and 1932, approximately 388 Rosenwald School buildings and 31 </w:t>
      </w:r>
      <w:proofErr w:type="gramStart"/>
      <w:r>
        <w:rPr>
          <w:rFonts w:ascii="Century Gothic" w:eastAsia="Century Gothic" w:hAnsi="Century Gothic" w:cs="Century Gothic"/>
          <w:color w:val="000000"/>
        </w:rPr>
        <w:t>teachers</w:t>
      </w:r>
      <w:proofErr w:type="gramEnd"/>
      <w:r>
        <w:rPr>
          <w:rFonts w:ascii="Century Gothic" w:eastAsia="Century Gothic" w:hAnsi="Century Gothic" w:cs="Century Gothic"/>
          <w:color w:val="000000"/>
        </w:rPr>
        <w:t xml:space="preserve"> residences were constructed in Louisiana. Some were used until the educational system in Louisiana was desegregated in 1971.  The Louisiana Trust for Historic Preservation has been researching and documenting the status of remaining schools. As of today, 1</w:t>
      </w:r>
      <w:r>
        <w:rPr>
          <w:rFonts w:ascii="Century Gothic" w:eastAsia="Century Gothic" w:hAnsi="Century Gothic" w:cs="Century Gothic"/>
        </w:rPr>
        <w:t>8</w:t>
      </w:r>
      <w:r>
        <w:rPr>
          <w:rFonts w:ascii="Century Gothic" w:eastAsia="Century Gothic" w:hAnsi="Century Gothic" w:cs="Century Gothic"/>
          <w:color w:val="000000"/>
        </w:rPr>
        <w:t xml:space="preserve"> schools and 2 teacher residences are still standing - all in various conditions.  These schools can be adapted into new uses and interpreted as a significant </w:t>
      </w:r>
      <w:r>
        <w:rPr>
          <w:rFonts w:ascii="Century Gothic" w:eastAsia="Century Gothic" w:hAnsi="Century Gothic" w:cs="Century Gothic"/>
        </w:rPr>
        <w:t>part of our state’s history</w:t>
      </w:r>
      <w:r>
        <w:rPr>
          <w:rFonts w:ascii="Century Gothic" w:eastAsia="Century Gothic" w:hAnsi="Century Gothic" w:cs="Century Gothic"/>
          <w:color w:val="000000"/>
        </w:rPr>
        <w:t xml:space="preserve">.   </w:t>
      </w:r>
    </w:p>
    <w:p w:rsidR="00D57E8A" w:rsidRDefault="00D57E8A" w:rsidP="002A7648">
      <w:pPr>
        <w:pBdr>
          <w:top w:val="nil"/>
          <w:left w:val="nil"/>
          <w:bottom w:val="nil"/>
          <w:right w:val="nil"/>
          <w:between w:val="nil"/>
        </w:pBdr>
        <w:spacing w:after="0"/>
        <w:rPr>
          <w:rFonts w:ascii="Century Gothic" w:eastAsia="Century Gothic" w:hAnsi="Century Gothic" w:cs="Century Gothic"/>
          <w:color w:val="000000"/>
        </w:rPr>
      </w:pPr>
    </w:p>
    <w:p w:rsidR="00D57E8A" w:rsidRDefault="00D57E8A" w:rsidP="002A7648">
      <w:pPr>
        <w:pBdr>
          <w:top w:val="nil"/>
          <w:left w:val="nil"/>
          <w:bottom w:val="nil"/>
          <w:right w:val="nil"/>
          <w:between w:val="nil"/>
        </w:pBdr>
        <w:spacing w:after="0"/>
        <w:rPr>
          <w:rFonts w:ascii="Century Gothic" w:eastAsia="Century Gothic" w:hAnsi="Century Gothic" w:cs="Century Gothic"/>
          <w:color w:val="000000"/>
        </w:rPr>
      </w:pPr>
    </w:p>
    <w:p w:rsidR="00D57E8A" w:rsidRDefault="0088296A" w:rsidP="002A7648">
      <w:pPr>
        <w:pBdr>
          <w:top w:val="nil"/>
          <w:left w:val="nil"/>
          <w:bottom w:val="nil"/>
          <w:right w:val="nil"/>
          <w:between w:val="nil"/>
        </w:pBdr>
        <w:spacing w:after="0" w:line="240" w:lineRule="auto"/>
        <w:jc w:val="center"/>
        <w:rPr>
          <w:rFonts w:ascii="Quattrocento Sans" w:eastAsia="Quattrocento Sans" w:hAnsi="Quattrocento Sans" w:cs="Quattrocento Sans"/>
          <w:color w:val="000000"/>
          <w:sz w:val="18"/>
          <w:szCs w:val="18"/>
        </w:rPr>
      </w:pPr>
      <w:r>
        <w:rPr>
          <w:rFonts w:ascii="Century Gothic" w:eastAsia="Century Gothic" w:hAnsi="Century Gothic" w:cs="Century Gothic"/>
          <w:color w:val="000000"/>
        </w:rPr>
        <w:t>________________________ </w:t>
      </w:r>
    </w:p>
    <w:p w:rsidR="00D57E8A" w:rsidRDefault="0088296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rsidR="00D57E8A" w:rsidRDefault="0088296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Century Gothic" w:eastAsia="Century Gothic" w:hAnsi="Century Gothic" w:cs="Century Gothic"/>
          <w:color w:val="000000"/>
        </w:rPr>
        <w:t>The Louisiana Trust for Historic Preservation was founded in 1979</w:t>
      </w:r>
      <w:r>
        <w:rPr>
          <w:rFonts w:ascii="Arial" w:eastAsia="Arial" w:hAnsi="Arial" w:cs="Arial"/>
          <w:color w:val="000000"/>
        </w:rPr>
        <w:t> </w:t>
      </w:r>
      <w:r>
        <w:rPr>
          <w:rFonts w:ascii="Century Gothic" w:eastAsia="Century Gothic" w:hAnsi="Century Gothic" w:cs="Century Gothic"/>
          <w:color w:val="000000"/>
        </w:rPr>
        <w:t>and</w:t>
      </w:r>
      <w:r>
        <w:rPr>
          <w:rFonts w:ascii="Arial" w:eastAsia="Arial" w:hAnsi="Arial" w:cs="Arial"/>
          <w:color w:val="000000"/>
        </w:rPr>
        <w:t> </w:t>
      </w:r>
      <w:r>
        <w:rPr>
          <w:rFonts w:ascii="Century Gothic" w:eastAsia="Century Gothic" w:hAnsi="Century Gothic" w:cs="Century Gothic"/>
          <w:color w:val="000000"/>
        </w:rPr>
        <w:t>works in all 64 parishes to</w:t>
      </w:r>
      <w:r>
        <w:rPr>
          <w:rFonts w:ascii="Arial" w:eastAsia="Arial" w:hAnsi="Arial" w:cs="Arial"/>
          <w:color w:val="000000"/>
        </w:rPr>
        <w:t> </w:t>
      </w:r>
      <w:r>
        <w:rPr>
          <w:rFonts w:ascii="Century Gothic" w:eastAsia="Century Gothic" w:hAnsi="Century Gothic" w:cs="Century Gothic"/>
          <w:color w:val="000000"/>
        </w:rPr>
        <w:t>advocate, promote and preserve historic places representing our diverse culture.</w:t>
      </w:r>
      <w:r>
        <w:rPr>
          <w:rFonts w:ascii="Arial" w:eastAsia="Arial" w:hAnsi="Arial" w:cs="Arial"/>
          <w:color w:val="000000"/>
        </w:rPr>
        <w:t> </w:t>
      </w:r>
      <w:r>
        <w:rPr>
          <w:rFonts w:ascii="Century Gothic" w:eastAsia="Century Gothic" w:hAnsi="Century Gothic" w:cs="Century Gothic"/>
          <w:color w:val="000000"/>
        </w:rPr>
        <w:t xml:space="preserve"> It is a 501(c)3 non-profit organization and</w:t>
      </w:r>
      <w:r>
        <w:rPr>
          <w:rFonts w:ascii="Arial" w:eastAsia="Arial" w:hAnsi="Arial" w:cs="Arial"/>
          <w:color w:val="000000"/>
        </w:rPr>
        <w:t> </w:t>
      </w:r>
      <w:r>
        <w:rPr>
          <w:rFonts w:ascii="Century Gothic" w:eastAsia="Century Gothic" w:hAnsi="Century Gothic" w:cs="Century Gothic"/>
          <w:color w:val="000000"/>
        </w:rPr>
        <w:t>for</w:t>
      </w:r>
      <w:r>
        <w:rPr>
          <w:rFonts w:ascii="Arial" w:eastAsia="Arial" w:hAnsi="Arial" w:cs="Arial"/>
          <w:color w:val="000000"/>
        </w:rPr>
        <w:t> </w:t>
      </w:r>
      <w:r>
        <w:rPr>
          <w:rFonts w:ascii="Century Gothic" w:eastAsia="Century Gothic" w:hAnsi="Century Gothic" w:cs="Century Gothic"/>
          <w:color w:val="000000"/>
        </w:rPr>
        <w:t>more information, visit LTHP.org</w:t>
      </w:r>
      <w:r>
        <w:rPr>
          <w:rFonts w:ascii="Arial" w:eastAsia="Arial" w:hAnsi="Arial" w:cs="Arial"/>
          <w:color w:val="000000"/>
        </w:rPr>
        <w:t> </w:t>
      </w:r>
      <w:r>
        <w:rPr>
          <w:rFonts w:ascii="Century Gothic" w:eastAsia="Century Gothic" w:hAnsi="Century Gothic" w:cs="Century Gothic"/>
          <w:color w:val="000000"/>
        </w:rPr>
        <w:t>or follow on Facebook (@</w:t>
      </w:r>
      <w:proofErr w:type="spellStart"/>
      <w:r>
        <w:rPr>
          <w:rFonts w:ascii="Century Gothic" w:eastAsia="Century Gothic" w:hAnsi="Century Gothic" w:cs="Century Gothic"/>
          <w:color w:val="000000"/>
        </w:rPr>
        <w:t>LTHPreservation</w:t>
      </w:r>
      <w:proofErr w:type="spellEnd"/>
      <w:r>
        <w:rPr>
          <w:rFonts w:ascii="Century Gothic" w:eastAsia="Century Gothic" w:hAnsi="Century Gothic" w:cs="Century Gothic"/>
          <w:color w:val="000000"/>
        </w:rPr>
        <w:t>) and Instagram (@</w:t>
      </w:r>
      <w:proofErr w:type="spellStart"/>
      <w:r>
        <w:rPr>
          <w:rFonts w:ascii="Century Gothic" w:eastAsia="Century Gothic" w:hAnsi="Century Gothic" w:cs="Century Gothic"/>
          <w:color w:val="000000"/>
        </w:rPr>
        <w:t>LouisianaTrust</w:t>
      </w:r>
      <w:proofErr w:type="spellEnd"/>
      <w:r>
        <w:rPr>
          <w:rFonts w:ascii="Century Gothic" w:eastAsia="Century Gothic" w:hAnsi="Century Gothic" w:cs="Century Gothic"/>
          <w:color w:val="000000"/>
        </w:rPr>
        <w:t>).</w:t>
      </w:r>
      <w:r>
        <w:rPr>
          <w:rFonts w:ascii="Arial" w:eastAsia="Arial" w:hAnsi="Arial" w:cs="Arial"/>
          <w:color w:val="000000"/>
        </w:rPr>
        <w:t> </w:t>
      </w:r>
      <w:r>
        <w:rPr>
          <w:rFonts w:ascii="Century Gothic" w:eastAsia="Century Gothic" w:hAnsi="Century Gothic" w:cs="Century Gothic"/>
          <w:color w:val="000000"/>
        </w:rPr>
        <w:t> </w:t>
      </w:r>
    </w:p>
    <w:p w:rsidR="00D57E8A" w:rsidRDefault="0088296A" w:rsidP="002A764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D57E8A" w:rsidRDefault="00D57E8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rsidR="00D57E8A" w:rsidRDefault="00D57E8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rsidR="00D57E8A" w:rsidRDefault="0088296A" w:rsidP="002A7648">
      <w:pPr>
        <w:pBdr>
          <w:top w:val="nil"/>
          <w:left w:val="nil"/>
          <w:bottom w:val="nil"/>
          <w:right w:val="nil"/>
          <w:between w:val="nil"/>
        </w:pBdr>
        <w:spacing w:after="0" w:line="240" w:lineRule="auto"/>
        <w:ind w:firstLine="4320"/>
        <w:rPr>
          <w:rFonts w:ascii="Quattrocento Sans" w:eastAsia="Quattrocento Sans" w:hAnsi="Quattrocento Sans" w:cs="Quattrocento Sans"/>
          <w:color w:val="000000"/>
          <w:sz w:val="18"/>
          <w:szCs w:val="18"/>
        </w:rPr>
      </w:pPr>
      <w:r>
        <w:rPr>
          <w:rFonts w:ascii="Arial" w:eastAsia="Arial" w:hAnsi="Arial" w:cs="Arial"/>
          <w:color w:val="0000FF"/>
        </w:rPr>
        <w:t> </w:t>
      </w:r>
      <w:r>
        <w:rPr>
          <w:rFonts w:ascii="Century Gothic" w:eastAsia="Century Gothic" w:hAnsi="Century Gothic" w:cs="Century Gothic"/>
          <w:color w:val="000000"/>
        </w:rPr>
        <w:t>#</w:t>
      </w:r>
      <w:r>
        <w:rPr>
          <w:rFonts w:ascii="Arial" w:eastAsia="Arial" w:hAnsi="Arial" w:cs="Arial"/>
          <w:color w:val="000000"/>
        </w:rPr>
        <w:t> </w:t>
      </w:r>
      <w:r>
        <w:rPr>
          <w:rFonts w:ascii="Century Gothic" w:eastAsia="Century Gothic" w:hAnsi="Century Gothic" w:cs="Century Gothic"/>
          <w:color w:val="000000"/>
        </w:rPr>
        <w:t xml:space="preserve"> #</w:t>
      </w:r>
      <w:r>
        <w:rPr>
          <w:rFonts w:ascii="Arial" w:eastAsia="Arial" w:hAnsi="Arial" w:cs="Arial"/>
          <w:color w:val="000000"/>
        </w:rPr>
        <w:t> </w:t>
      </w:r>
      <w:r>
        <w:rPr>
          <w:rFonts w:ascii="Century Gothic" w:eastAsia="Century Gothic" w:hAnsi="Century Gothic" w:cs="Century Gothic"/>
          <w:color w:val="000000"/>
        </w:rPr>
        <w:t xml:space="preserve"> #</w:t>
      </w:r>
      <w:r>
        <w:rPr>
          <w:rFonts w:ascii="Arial" w:eastAsia="Arial" w:hAnsi="Arial" w:cs="Arial"/>
          <w:color w:val="000000"/>
        </w:rPr>
        <w:t> </w:t>
      </w:r>
      <w:r>
        <w:rPr>
          <w:rFonts w:ascii="Century Gothic" w:eastAsia="Century Gothic" w:hAnsi="Century Gothic" w:cs="Century Gothic"/>
          <w:color w:val="000000"/>
        </w:rPr>
        <w:t> </w:t>
      </w:r>
    </w:p>
    <w:p w:rsidR="00D57E8A" w:rsidRDefault="00D57E8A" w:rsidP="002A7648">
      <w:pPr>
        <w:pBdr>
          <w:top w:val="nil"/>
          <w:left w:val="nil"/>
          <w:bottom w:val="nil"/>
          <w:right w:val="nil"/>
          <w:between w:val="nil"/>
        </w:pBdr>
        <w:spacing w:after="0" w:line="240" w:lineRule="auto"/>
        <w:rPr>
          <w:rFonts w:ascii="Arial" w:eastAsia="Arial" w:hAnsi="Arial" w:cs="Arial"/>
          <w:color w:val="0563C1"/>
        </w:rPr>
      </w:pPr>
    </w:p>
    <w:p w:rsidR="00D57E8A" w:rsidRDefault="0088296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Arial" w:eastAsia="Arial" w:hAnsi="Arial" w:cs="Arial"/>
          <w:color w:val="0563C1"/>
        </w:rPr>
        <w:t> </w:t>
      </w:r>
      <w:r>
        <w:rPr>
          <w:rFonts w:ascii="Century Gothic" w:eastAsia="Century Gothic" w:hAnsi="Century Gothic" w:cs="Century Gothic"/>
          <w:color w:val="000000"/>
        </w:rPr>
        <w:t> </w:t>
      </w:r>
    </w:p>
    <w:p w:rsidR="00DD0FD6" w:rsidRDefault="0088296A" w:rsidP="002A764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563C1"/>
        </w:rPr>
        <w:t>Photos and additional information may be found at:</w:t>
      </w:r>
      <w:r>
        <w:rPr>
          <w:rFonts w:ascii="Arial" w:eastAsia="Arial" w:hAnsi="Arial" w:cs="Arial"/>
          <w:color w:val="0563C1"/>
        </w:rPr>
        <w:t>  </w:t>
      </w:r>
      <w:r>
        <w:rPr>
          <w:rFonts w:ascii="Century Gothic" w:eastAsia="Century Gothic" w:hAnsi="Century Gothic" w:cs="Century Gothic"/>
          <w:color w:val="000000"/>
        </w:rPr>
        <w:t> </w:t>
      </w:r>
    </w:p>
    <w:p w:rsidR="00D57E8A" w:rsidRDefault="002A408A" w:rsidP="002A7648">
      <w:pPr>
        <w:pBdr>
          <w:top w:val="nil"/>
          <w:left w:val="nil"/>
          <w:bottom w:val="nil"/>
          <w:right w:val="nil"/>
          <w:between w:val="nil"/>
        </w:pBdr>
        <w:spacing w:after="0" w:line="240" w:lineRule="auto"/>
        <w:rPr>
          <w:rFonts w:ascii="Century Gothic" w:eastAsia="Century Gothic" w:hAnsi="Century Gothic" w:cs="Century Gothic"/>
          <w:color w:val="000000"/>
        </w:rPr>
      </w:pPr>
      <w:r w:rsidRPr="002A408A">
        <w:rPr>
          <w:rFonts w:ascii="Century Gothic" w:eastAsia="Century Gothic" w:hAnsi="Century Gothic" w:cs="Century Gothic"/>
          <w:color w:val="000000"/>
        </w:rPr>
        <w:t>https://www.dropbox.com/scl/fo/8fzh8ldifsg9omkzbhgw7/h?dl=0&amp;rlkey=6erhtmg4zfaxbflxxqdg1vvr5</w:t>
      </w:r>
    </w:p>
    <w:p w:rsidR="00D57E8A" w:rsidRDefault="00D57E8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rsidR="00D57E8A" w:rsidRDefault="0088296A" w:rsidP="002A764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563C1"/>
        </w:rPr>
        <w:t>or contact Brian Davis, LTHP Executive Director, at 318.267.5220 or bdavis@lthp.org</w:t>
      </w:r>
      <w:r>
        <w:rPr>
          <w:rFonts w:ascii="Century Gothic" w:eastAsia="Century Gothic" w:hAnsi="Century Gothic" w:cs="Century Gothic"/>
          <w:color w:val="000000"/>
        </w:rPr>
        <w:t> </w:t>
      </w:r>
    </w:p>
    <w:p w:rsidR="00D57E8A" w:rsidRDefault="00D57E8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rsidR="00D57E8A" w:rsidRDefault="0088296A" w:rsidP="002A7648">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Century Gothic" w:eastAsia="Century Gothic" w:hAnsi="Century Gothic" w:cs="Century Gothic"/>
          <w:color w:val="0563C1"/>
        </w:rPr>
        <w:t>Photo credits:</w:t>
      </w:r>
      <w:r>
        <w:rPr>
          <w:rFonts w:ascii="Arial" w:eastAsia="Arial" w:hAnsi="Arial" w:cs="Arial"/>
          <w:color w:val="0563C1"/>
        </w:rPr>
        <w:t>  </w:t>
      </w:r>
      <w:r>
        <w:rPr>
          <w:rFonts w:ascii="Century Gothic" w:eastAsia="Century Gothic" w:hAnsi="Century Gothic" w:cs="Century Gothic"/>
          <w:color w:val="0563C1"/>
        </w:rPr>
        <w:t>Louisiana Trust for Historic Preservation</w:t>
      </w:r>
      <w:r>
        <w:rPr>
          <w:rFonts w:ascii="Arial" w:eastAsia="Arial" w:hAnsi="Arial" w:cs="Arial"/>
          <w:color w:val="0563C1"/>
        </w:rPr>
        <w:t> </w:t>
      </w:r>
    </w:p>
    <w:sectPr w:rsidR="00D57E8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E8A"/>
    <w:rsid w:val="000E771B"/>
    <w:rsid w:val="002A408A"/>
    <w:rsid w:val="002A7648"/>
    <w:rsid w:val="004175E8"/>
    <w:rsid w:val="00463CF6"/>
    <w:rsid w:val="004D7096"/>
    <w:rsid w:val="0088296A"/>
    <w:rsid w:val="00AA6C23"/>
    <w:rsid w:val="00D57E8A"/>
    <w:rsid w:val="00DD0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B3C29-62A2-4CF4-B613-60814301F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EF04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F043F"/>
  </w:style>
  <w:style w:type="character" w:customStyle="1" w:styleId="eop">
    <w:name w:val="eop"/>
    <w:basedOn w:val="DefaultParagraphFont"/>
    <w:rsid w:val="00EF043F"/>
  </w:style>
  <w:style w:type="character" w:customStyle="1" w:styleId="contextualspellingandgrammarerror">
    <w:name w:val="contextualspellingandgrammarerror"/>
    <w:basedOn w:val="DefaultParagraphFont"/>
    <w:rsid w:val="00EF043F"/>
  </w:style>
  <w:style w:type="character" w:customStyle="1" w:styleId="spellingerror">
    <w:name w:val="spellingerror"/>
    <w:basedOn w:val="DefaultParagraphFont"/>
    <w:rsid w:val="00EF043F"/>
  </w:style>
  <w:style w:type="character" w:customStyle="1" w:styleId="scxw37684978">
    <w:name w:val="scxw37684978"/>
    <w:basedOn w:val="DefaultParagraphFont"/>
    <w:rsid w:val="00EF043F"/>
  </w:style>
  <w:style w:type="paragraph" w:styleId="NormalWeb">
    <w:name w:val="Normal (Web)"/>
    <w:basedOn w:val="Normal"/>
    <w:uiPriority w:val="99"/>
    <w:unhideWhenUsed/>
    <w:rsid w:val="00A02D72"/>
    <w:rPr>
      <w:rFonts w:ascii="Times New Roman" w:hAnsi="Times New Roman" w:cs="Times New Roman"/>
      <w:sz w:val="24"/>
      <w:szCs w:val="24"/>
    </w:rPr>
  </w:style>
  <w:style w:type="character" w:styleId="Hyperlink">
    <w:name w:val="Hyperlink"/>
    <w:basedOn w:val="DefaultParagraphFont"/>
    <w:uiPriority w:val="99"/>
    <w:unhideWhenUsed/>
    <w:rsid w:val="00CA6DEB"/>
    <w:rPr>
      <w:color w:val="0563C1" w:themeColor="hyperlink"/>
      <w:u w:val="single"/>
    </w:rPr>
  </w:style>
  <w:style w:type="character" w:styleId="UnresolvedMention">
    <w:name w:val="Unresolved Mention"/>
    <w:basedOn w:val="DefaultParagraphFont"/>
    <w:uiPriority w:val="99"/>
    <w:semiHidden/>
    <w:unhideWhenUsed/>
    <w:rsid w:val="00CA6DE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l+EJiPzUQSMeRVf0xaESef0qKQ==">AMUW2mVFcttmQG9CzwUyLX/thPoEBsb+ZiVRxio4wZKQX5BvT2/r5+1bqD3/oa+8HyhApe2EeDlWcqGvRs+0h+wN1gpPai2XiU7UGRQKeaiQZqYnMooNsc7j6zibl2mhl0/jAdHxR91J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1647</Words>
  <Characters>9391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Davis</dc:creator>
  <cp:lastModifiedBy>Brian Davis</cp:lastModifiedBy>
  <cp:revision>3</cp:revision>
  <cp:lastPrinted>2022-06-14T22:16:00Z</cp:lastPrinted>
  <dcterms:created xsi:type="dcterms:W3CDTF">2022-06-21T15:04:00Z</dcterms:created>
  <dcterms:modified xsi:type="dcterms:W3CDTF">2022-06-21T15:04:00Z</dcterms:modified>
</cp:coreProperties>
</file>